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D0" w:rsidRDefault="00747CD0" w:rsidP="00747CD0">
      <w:pPr>
        <w:autoSpaceDE w:val="0"/>
        <w:autoSpaceDN w:val="0"/>
        <w:adjustRightInd w:val="0"/>
        <w:spacing w:after="0" w:line="240" w:lineRule="auto"/>
        <w:jc w:val="center"/>
        <w:rPr>
          <w:rFonts w:ascii="AQAChevinPro-DemiBold" w:hAnsi="AQAChevinPro-DemiBold" w:cs="AQAChevinPro-DemiBold"/>
          <w:b/>
          <w:bCs/>
          <w:color w:val="522E92"/>
          <w:sz w:val="56"/>
          <w:szCs w:val="56"/>
          <w:u w:val="single"/>
        </w:rPr>
      </w:pPr>
      <w:r>
        <w:rPr>
          <w:rFonts w:ascii="AQAChevinPro-DemiBold" w:hAnsi="AQAChevinPro-DemiBold" w:cs="AQAChevinPro-DemiBold"/>
          <w:b/>
          <w:bCs/>
          <w:color w:val="522E92"/>
          <w:sz w:val="56"/>
          <w:szCs w:val="56"/>
          <w:u w:val="single"/>
        </w:rPr>
        <w:t>AQA Specification: The Existence of God and Revelation</w:t>
      </w:r>
    </w:p>
    <w:p w:rsidR="00747CD0" w:rsidRDefault="00747CD0" w:rsidP="00747CD0">
      <w:pPr>
        <w:autoSpaceDE w:val="0"/>
        <w:autoSpaceDN w:val="0"/>
        <w:adjustRightInd w:val="0"/>
        <w:spacing w:after="0" w:line="240" w:lineRule="auto"/>
        <w:jc w:val="center"/>
        <w:rPr>
          <w:rFonts w:ascii="AQAChevinPro-DemiBold" w:hAnsi="AQAChevinPro-DemiBold" w:cs="AQAChevinPro-DemiBold"/>
          <w:b/>
          <w:bCs/>
          <w:color w:val="522E92"/>
          <w:sz w:val="56"/>
          <w:szCs w:val="56"/>
        </w:rPr>
      </w:pPr>
    </w:p>
    <w:p w:rsidR="001F2D5C" w:rsidRDefault="001F2D5C" w:rsidP="001F2D5C">
      <w:pPr>
        <w:autoSpaceDE w:val="0"/>
        <w:autoSpaceDN w:val="0"/>
        <w:adjustRightInd w:val="0"/>
        <w:spacing w:after="0" w:line="240" w:lineRule="auto"/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</w:pPr>
      <w:r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  <w:t>3.2.1.3 Theme C: The existence of God and revelation</w:t>
      </w:r>
    </w:p>
    <w:p w:rsidR="001F2D5C" w:rsidRDefault="001F2D5C" w:rsidP="00747CD0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Students should study religious teachings, and religious and philosophical arguments, relating to</w:t>
      </w:r>
      <w:r w:rsidR="00747CD0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the issues that follow, and their impact and influence in the modern world. They should be aware of</w:t>
      </w:r>
      <w:r w:rsidR="00747CD0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contrasting perspectives in contemporary British society on all of these issues.</w:t>
      </w:r>
    </w:p>
    <w:p w:rsidR="00747CD0" w:rsidRDefault="00747CD0" w:rsidP="00747CD0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</w:p>
    <w:p w:rsidR="001F2D5C" w:rsidRDefault="001F2D5C" w:rsidP="00747CD0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They must be able to explain contrasting beliefs on the following three issues with reference to the main</w:t>
      </w:r>
      <w:r w:rsidR="00747CD0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religious tradition in Britain (Christianity) and non-religious beliefs such as atheism and humanism:</w:t>
      </w:r>
    </w:p>
    <w:p w:rsidR="001F2D5C" w:rsidRPr="00747CD0" w:rsidRDefault="001F2D5C" w:rsidP="00747C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747CD0">
        <w:rPr>
          <w:rFonts w:ascii="HelveticaNeueLTStd-Roman" w:hAnsi="HelveticaNeueLTStd-Roman" w:cs="HelveticaNeueLTStd-Roman"/>
          <w:color w:val="000000"/>
        </w:rPr>
        <w:t>Visions.</w:t>
      </w:r>
    </w:p>
    <w:p w:rsidR="001F2D5C" w:rsidRPr="00747CD0" w:rsidRDefault="001F2D5C" w:rsidP="00747C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747CD0">
        <w:rPr>
          <w:rFonts w:ascii="HelveticaNeueLTStd-Roman" w:hAnsi="HelveticaNeueLTStd-Roman" w:cs="HelveticaNeueLTStd-Roman"/>
          <w:color w:val="000000"/>
        </w:rPr>
        <w:t>Miracles.</w:t>
      </w:r>
    </w:p>
    <w:p w:rsidR="00747CD0" w:rsidRPr="00747CD0" w:rsidRDefault="001F2D5C" w:rsidP="00747CD0">
      <w:pPr>
        <w:pStyle w:val="ListParagraph"/>
        <w:numPr>
          <w:ilvl w:val="0"/>
          <w:numId w:val="1"/>
        </w:numPr>
        <w:rPr>
          <w:rFonts w:ascii="HelveticaNeueLTStd-Roman" w:hAnsi="HelveticaNeueLTStd-Roman" w:cs="HelveticaNeueLTStd-Roman"/>
          <w:color w:val="000000"/>
        </w:rPr>
      </w:pPr>
      <w:r w:rsidRPr="00747CD0">
        <w:rPr>
          <w:rFonts w:ascii="HelveticaNeueLTStd-Roman" w:hAnsi="HelveticaNeueLTStd-Roman" w:cs="HelveticaNeueLTStd-Roman"/>
          <w:color w:val="000000"/>
        </w:rPr>
        <w:t>Nature as general revelation.</w:t>
      </w:r>
    </w:p>
    <w:p w:rsidR="001F2D5C" w:rsidRDefault="001F2D5C" w:rsidP="001F2D5C">
      <w:pPr>
        <w:autoSpaceDE w:val="0"/>
        <w:autoSpaceDN w:val="0"/>
        <w:adjustRightInd w:val="0"/>
        <w:spacing w:after="0" w:line="240" w:lineRule="auto"/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</w:pPr>
      <w:r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  <w:t>Philosophical arguments for and against the existence of God</w:t>
      </w:r>
    </w:p>
    <w:p w:rsidR="001F2D5C" w:rsidRPr="00747CD0" w:rsidRDefault="001F2D5C" w:rsidP="00747C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747CD0">
        <w:rPr>
          <w:rFonts w:ascii="HelveticaNeueLTStd-Roman" w:hAnsi="HelveticaNeueLTStd-Roman" w:cs="HelveticaNeueLTStd-Roman"/>
          <w:color w:val="000000"/>
        </w:rPr>
        <w:t>The Design argument, including its strengths and weaknesses.</w:t>
      </w:r>
    </w:p>
    <w:p w:rsidR="001F2D5C" w:rsidRPr="00747CD0" w:rsidRDefault="001F2D5C" w:rsidP="00747C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747CD0">
        <w:rPr>
          <w:rFonts w:ascii="HelveticaNeueLTStd-Roman" w:hAnsi="HelveticaNeueLTStd-Roman" w:cs="HelveticaNeueLTStd-Roman"/>
          <w:color w:val="000000"/>
        </w:rPr>
        <w:t>The First Cause argument, including its strengths and weaknesses.</w:t>
      </w:r>
    </w:p>
    <w:p w:rsidR="001F2D5C" w:rsidRPr="00747CD0" w:rsidRDefault="001F2D5C" w:rsidP="00747C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 w:rsidRPr="00747CD0">
        <w:rPr>
          <w:rFonts w:ascii="HelveticaNeueLTStd-Roman" w:hAnsi="HelveticaNeueLTStd-Roman" w:cs="HelveticaNeueLTStd-Roman"/>
          <w:color w:val="000000"/>
        </w:rPr>
        <w:t>The argument from miracles, including its strengths and weaknesses, and one example of a miracle.</w:t>
      </w:r>
    </w:p>
    <w:p w:rsidR="001F2D5C" w:rsidRPr="00747CD0" w:rsidRDefault="001F2D5C" w:rsidP="00747C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747CD0">
        <w:rPr>
          <w:rFonts w:ascii="HelveticaNeueLTStd-Roman" w:hAnsi="HelveticaNeueLTStd-Roman" w:cs="HelveticaNeueLTStd-Roman"/>
          <w:color w:val="000000"/>
        </w:rPr>
        <w:t>Evil and suffering as an argument against the existence of God.</w:t>
      </w:r>
    </w:p>
    <w:p w:rsidR="001F2D5C" w:rsidRDefault="001F2D5C" w:rsidP="00747C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747CD0">
        <w:rPr>
          <w:rFonts w:ascii="HelveticaNeueLTStd-Roman" w:hAnsi="HelveticaNeueLTStd-Roman" w:cs="HelveticaNeueLTStd-Roman"/>
          <w:color w:val="000000"/>
        </w:rPr>
        <w:t>Arguments based on science against the existence of God.</w:t>
      </w:r>
    </w:p>
    <w:p w:rsidR="00747CD0" w:rsidRPr="00747CD0" w:rsidRDefault="00747CD0" w:rsidP="00747CD0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1F2D5C" w:rsidRDefault="001F2D5C" w:rsidP="001F2D5C">
      <w:pPr>
        <w:autoSpaceDE w:val="0"/>
        <w:autoSpaceDN w:val="0"/>
        <w:adjustRightInd w:val="0"/>
        <w:spacing w:after="0" w:line="240" w:lineRule="auto"/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</w:pPr>
      <w:r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  <w:t>The nature of the divine and revelation</w:t>
      </w:r>
    </w:p>
    <w:p w:rsidR="001F2D5C" w:rsidRPr="00020D93" w:rsidRDefault="001F2D5C" w:rsidP="00020D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 w:rsidRPr="00747CD0">
        <w:rPr>
          <w:rFonts w:ascii="HelveticaNeueLTStd-Roman" w:hAnsi="HelveticaNeueLTStd-Roman" w:cs="HelveticaNeueLTStd-Roman"/>
          <w:color w:val="000000"/>
        </w:rPr>
        <w:t>Special revelation as a source of knowledge about the divine (God, gods or ultimate reality) including</w:t>
      </w:r>
      <w:r w:rsidR="00020D93">
        <w:rPr>
          <w:rFonts w:ascii="HelveticaNeueLTStd-Roman" w:hAnsi="HelveticaNeueLTStd-Roman" w:cs="HelveticaNeueLTStd-Roman"/>
          <w:color w:val="000000"/>
        </w:rPr>
        <w:t xml:space="preserve"> </w:t>
      </w:r>
      <w:r w:rsidRPr="00020D93">
        <w:rPr>
          <w:rFonts w:ascii="HelveticaNeueLTStd-Roman" w:hAnsi="HelveticaNeueLTStd-Roman" w:cs="HelveticaNeueLTStd-Roman"/>
          <w:color w:val="000000"/>
        </w:rPr>
        <w:t>visions and one example of a vision.</w:t>
      </w:r>
    </w:p>
    <w:p w:rsidR="001F2D5C" w:rsidRPr="00747CD0" w:rsidRDefault="001F2D5C" w:rsidP="00747C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 w:rsidRPr="00747CD0">
        <w:rPr>
          <w:rFonts w:ascii="HelveticaNeueLTStd-Roman" w:hAnsi="HelveticaNeueLTStd-Roman" w:cs="HelveticaNeueLTStd-Roman"/>
          <w:color w:val="000000"/>
        </w:rPr>
        <w:t>Enlightenment as a source of knowledge about the divine.</w:t>
      </w:r>
    </w:p>
    <w:p w:rsidR="001F2D5C" w:rsidRPr="00747CD0" w:rsidRDefault="001F2D5C" w:rsidP="00747C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 w:rsidRPr="00747CD0">
        <w:rPr>
          <w:rFonts w:ascii="HelveticaNeueLTStd-Roman" w:hAnsi="HelveticaNeueLTStd-Roman" w:cs="HelveticaNeueLTStd-Roman"/>
          <w:color w:val="000000"/>
        </w:rPr>
        <w:t>General revelation: nature and scripture as a way of understanding the divine.</w:t>
      </w:r>
    </w:p>
    <w:p w:rsidR="001F2D5C" w:rsidRPr="00747CD0" w:rsidRDefault="001F2D5C" w:rsidP="00747C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 w:rsidRPr="00747CD0">
        <w:rPr>
          <w:rFonts w:ascii="HelveticaNeueLTStd-Roman" w:hAnsi="HelveticaNeueLTStd-Roman" w:cs="HelveticaNeueLTStd-Roman"/>
          <w:color w:val="000000"/>
        </w:rPr>
        <w:t>Different ideas about the divine that come from these sources:</w:t>
      </w:r>
    </w:p>
    <w:p w:rsidR="001F2D5C" w:rsidRPr="00747CD0" w:rsidRDefault="001F2D5C" w:rsidP="00747CD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 w:rsidRPr="00747CD0">
        <w:rPr>
          <w:rFonts w:ascii="HelveticaNeueLTStd-Roman" w:hAnsi="HelveticaNeueLTStd-Roman" w:cs="HelveticaNeueLTStd-Roman"/>
          <w:color w:val="000000"/>
        </w:rPr>
        <w:t>omnipotent and omniscient</w:t>
      </w:r>
    </w:p>
    <w:p w:rsidR="001F2D5C" w:rsidRPr="00747CD0" w:rsidRDefault="001F2D5C" w:rsidP="00747CD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 w:rsidRPr="00747CD0">
        <w:rPr>
          <w:rFonts w:ascii="HelveticaNeueLTStd-Roman" w:hAnsi="HelveticaNeueLTStd-Roman" w:cs="HelveticaNeueLTStd-Roman"/>
          <w:color w:val="000000"/>
        </w:rPr>
        <w:t>personal and impersonal</w:t>
      </w:r>
    </w:p>
    <w:p w:rsidR="001F2D5C" w:rsidRPr="00747CD0" w:rsidRDefault="001F2D5C" w:rsidP="00747CD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 w:rsidRPr="00747CD0">
        <w:rPr>
          <w:rFonts w:ascii="HelveticaNeueLTStd-Roman" w:hAnsi="HelveticaNeueLTStd-Roman" w:cs="HelveticaNeueLTStd-Roman"/>
          <w:color w:val="000000"/>
        </w:rPr>
        <w:t>immanent and transcendent.</w:t>
      </w:r>
    </w:p>
    <w:p w:rsidR="001F2D5C" w:rsidRPr="00747CD0" w:rsidRDefault="001F2D5C" w:rsidP="00747C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 w:rsidRPr="00747CD0">
        <w:rPr>
          <w:rFonts w:ascii="HelveticaNeueLTStd-Roman" w:hAnsi="HelveticaNeueLTStd-Roman" w:cs="HelveticaNeueLTStd-Roman"/>
          <w:color w:val="000000"/>
        </w:rPr>
        <w:t>The value of general and special revelation and enlightenment as sources of knowledge about the</w:t>
      </w:r>
      <w:r w:rsidR="00747CD0">
        <w:rPr>
          <w:rFonts w:ascii="HelveticaNeueLTStd-Roman" w:hAnsi="HelveticaNeueLTStd-Roman" w:cs="HelveticaNeueLTStd-Roman"/>
          <w:color w:val="000000"/>
        </w:rPr>
        <w:t xml:space="preserve"> </w:t>
      </w:r>
      <w:r w:rsidRPr="00747CD0">
        <w:rPr>
          <w:rFonts w:ascii="HelveticaNeueLTStd-Roman" w:hAnsi="HelveticaNeueLTStd-Roman" w:cs="HelveticaNeueLTStd-Roman"/>
          <w:color w:val="000000"/>
        </w:rPr>
        <w:t>divine, including:</w:t>
      </w:r>
    </w:p>
    <w:p w:rsidR="001F2D5C" w:rsidRPr="00747CD0" w:rsidRDefault="001F2D5C" w:rsidP="00747CD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 w:rsidRPr="00747CD0">
        <w:rPr>
          <w:rFonts w:ascii="HelveticaNeueLTStd-Roman" w:hAnsi="HelveticaNeueLTStd-Roman" w:cs="HelveticaNeueLTStd-Roman"/>
          <w:color w:val="000000"/>
        </w:rPr>
        <w:t>the problems of different ideas about the divine arising from these experiences</w:t>
      </w:r>
    </w:p>
    <w:p w:rsidR="001F2D5C" w:rsidRPr="00747CD0" w:rsidRDefault="001F2D5C" w:rsidP="00747CD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 w:rsidRPr="00747CD0">
        <w:rPr>
          <w:rFonts w:ascii="HelveticaNeueLTStd-Roman" w:hAnsi="HelveticaNeueLTStd-Roman" w:cs="HelveticaNeueLTStd-Roman"/>
          <w:color w:val="000000"/>
        </w:rPr>
        <w:t>alternative explanations for the experiences, and the possibility that the people who claimed to</w:t>
      </w:r>
      <w:r w:rsidR="00747CD0">
        <w:rPr>
          <w:rFonts w:ascii="HelveticaNeueLTStd-Roman" w:hAnsi="HelveticaNeueLTStd-Roman" w:cs="HelveticaNeueLTStd-Roman"/>
          <w:color w:val="000000"/>
        </w:rPr>
        <w:t xml:space="preserve"> </w:t>
      </w:r>
      <w:r w:rsidRPr="00747CD0">
        <w:rPr>
          <w:rFonts w:ascii="HelveticaNeueLTStd-Roman" w:hAnsi="HelveticaNeueLTStd-Roman" w:cs="HelveticaNeueLTStd-Roman"/>
          <w:color w:val="000000"/>
        </w:rPr>
        <w:t>have them were lying or mistaken.</w:t>
      </w:r>
      <w:bookmarkStart w:id="0" w:name="_GoBack"/>
      <w:bookmarkEnd w:id="0"/>
    </w:p>
    <w:sectPr w:rsidR="001F2D5C" w:rsidRPr="00747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QAChevinPro-D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31C2"/>
    <w:multiLevelType w:val="hybridMultilevel"/>
    <w:tmpl w:val="4EAEC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06ABE"/>
    <w:multiLevelType w:val="hybridMultilevel"/>
    <w:tmpl w:val="877C0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F5D2D"/>
    <w:multiLevelType w:val="hybridMultilevel"/>
    <w:tmpl w:val="A70C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5C"/>
    <w:rsid w:val="00020D93"/>
    <w:rsid w:val="001F2D5C"/>
    <w:rsid w:val="002E25DB"/>
    <w:rsid w:val="006670D8"/>
    <w:rsid w:val="00747CD0"/>
    <w:rsid w:val="009566A5"/>
    <w:rsid w:val="00E4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D473F"/>
  <w15:chartTrackingRefBased/>
  <w15:docId w15:val="{4215691A-27FC-4DEA-A30F-8502A333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C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4893F65E</Template>
  <TotalTime>15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Haughton</dc:creator>
  <cp:keywords/>
  <dc:description/>
  <cp:lastModifiedBy>M Haughton</cp:lastModifiedBy>
  <cp:revision>3</cp:revision>
  <cp:lastPrinted>2017-05-22T10:13:00Z</cp:lastPrinted>
  <dcterms:created xsi:type="dcterms:W3CDTF">2017-05-22T09:54:00Z</dcterms:created>
  <dcterms:modified xsi:type="dcterms:W3CDTF">2017-05-22T17:03:00Z</dcterms:modified>
</cp:coreProperties>
</file>