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center"/>
        <w:rPr>
          <w:rFonts w:ascii="AQAChevinPro-DemiBold" w:hAnsi="AQAChevinPro-DemiBold" w:cs="AQAChevinPro-DemiBold"/>
          <w:b/>
          <w:bCs/>
          <w:color w:val="522E92"/>
          <w:sz w:val="56"/>
          <w:szCs w:val="56"/>
        </w:rPr>
      </w:pPr>
      <w:r>
        <w:rPr>
          <w:rFonts w:ascii="AQAChevinPro-DemiBold" w:hAnsi="AQAChevinPro-DemiBold" w:cs="AQAChevinPro-DemiBold"/>
          <w:b/>
          <w:bCs/>
          <w:color w:val="522E92"/>
          <w:sz w:val="56"/>
          <w:szCs w:val="56"/>
          <w:u w:val="single"/>
        </w:rPr>
        <w:t xml:space="preserve">AQA Specification: Religion, </w:t>
      </w:r>
      <w:r>
        <w:rPr>
          <w:rFonts w:ascii="AQAChevinPro-DemiBold" w:hAnsi="AQAChevinPro-DemiBold" w:cs="AQAChevinPro-DemiBold"/>
          <w:b/>
          <w:bCs/>
          <w:color w:val="522E92"/>
          <w:sz w:val="56"/>
          <w:szCs w:val="56"/>
          <w:u w:val="single"/>
        </w:rPr>
        <w:t>Human Rights and Social Justice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3.2.1.6 Theme F: Religion, human rights and social justice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Students should study religious teachings, and religious, philosophical and ethical arguments, relating</w:t>
      </w:r>
      <w:r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to the issues that follow, and their impact and influence in the modern world. They should be aware of</w:t>
      </w:r>
      <w:r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contrasting perspectives in contemporary British society on all of these issues.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They must be able to explain contrasting beliefs on the following three issues with reference to the main</w:t>
      </w:r>
      <w:r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religious tradition in Britain (Christianity) and one or more other religious traditions: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Status of women in religion.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The uses of wealth.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Freedom of religious expression.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Human rights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Prejudice and discrimination in religion and belief, including the status and treatment within religion</w:t>
      </w:r>
      <w:r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of women and homosexuals.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Issues of equality, freedom of religion and belief including freedom of religious expression.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Human rights and the responsibilities that come with rights, including the responsibility to respect</w:t>
      </w:r>
      <w:r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the rights of others.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Social justice.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Racial prejudice and discrimination.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Ethical arguments related to racial discrimination (including positive discrimination), including those</w:t>
      </w:r>
      <w:r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based on the ideals of equality and justice.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Wealth and poverty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Wealth, including: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the right attitude to wealth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the uses of wealth.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The responsibilities of wealth, including the duty to tackle poverty and its causes.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Exploitation of the poor including issues relating to: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fair pay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excessive interest on loans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people-trafficking.</w:t>
      </w:r>
    </w:p>
    <w:p w:rsidR="00484830" w:rsidRDefault="00484830" w:rsidP="0048483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The responsibilities of those living in poverty to help themselves overcome the difficulties they face.</w:t>
      </w:r>
      <w:bookmarkStart w:id="0" w:name="_GoBack"/>
      <w:bookmarkEnd w:id="0"/>
    </w:p>
    <w:p w:rsidR="00D549C6" w:rsidRDefault="00484830" w:rsidP="00484830">
      <w:r>
        <w:rPr>
          <w:rFonts w:ascii="HelveticaNeueLTStd-Roman" w:hAnsi="HelveticaNeueLTStd-Roman" w:cs="HelveticaNeueLTStd-Roman"/>
          <w:color w:val="000000"/>
        </w:rPr>
        <w:t>•• Charity, including issues related to giving money to the poor.</w:t>
      </w:r>
    </w:p>
    <w:sectPr w:rsidR="00D54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QAChevinPro-D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30"/>
    <w:rsid w:val="00484830"/>
    <w:rsid w:val="00772528"/>
    <w:rsid w:val="00D5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74E50"/>
  <w15:chartTrackingRefBased/>
  <w15:docId w15:val="{B0A3C0DD-65E9-4D2B-B745-9235F7B0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3E734D9E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Haughton</dc:creator>
  <cp:keywords/>
  <dc:description/>
  <cp:lastModifiedBy>M Haughton</cp:lastModifiedBy>
  <cp:revision>2</cp:revision>
  <dcterms:created xsi:type="dcterms:W3CDTF">2017-01-09T11:11:00Z</dcterms:created>
  <dcterms:modified xsi:type="dcterms:W3CDTF">2017-01-09T11:11:00Z</dcterms:modified>
</cp:coreProperties>
</file>