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>Microorganisms can cause disease.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 Draw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line from each disease to the correct description.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325.5pt">
            <v:imagedata r:id="rId6" o:title=""/>
          </v:shape>
        </w:pic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Gonorrhoea is a sexually transmitted disease.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bacterium causes gonorrhoea.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are the symptoms of gonorrhoea?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0"/>
        <w:gridCol w:w="2445"/>
        <w:gridCol w:w="9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Tick </w:t>
            </w:r>
            <w:r>
              <w:rPr>
                <w:rFonts w:ascii="Arial" w:hAnsi="Arial" w:cs="Arial"/>
                <w:b/>
                <w:bCs/>
                <w:lang w:val="en-US"/>
              </w:rPr>
              <w:t>two</w:t>
            </w:r>
            <w:r>
              <w:rPr>
                <w:rFonts w:ascii="Arial" w:hAnsi="Arial" w:cs="Arial"/>
                <w:lang w:val="en-US"/>
              </w:rPr>
              <w:t xml:space="preserve"> boxes.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Headache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26" type="#_x0000_t75" style="width:30pt;height:30pt">
                  <v:imagedata r:id="rId7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Pain when urinating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27" type="#_x0000_t75" style="width:30pt;height:30pt">
                  <v:imagedata r:id="rId7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Rash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28" type="#_x0000_t75" style="width:30pt;height:30pt">
                  <v:imagedata r:id="rId7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Vomiting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29" type="#_x0000_t75" style="width:30pt;height:30pt">
                  <v:imagedata r:id="rId7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Yellow discharge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pict>
                <v:shape id="_x0000_i1030" type="#_x0000_t75" style="width:30pt;height:30pt">
                  <v:imagedata r:id="rId7" o:title=""/>
                </v:shape>
              </w:pict>
            </w:r>
            <w:r>
              <w:rPr>
                <w:rFonts w:ascii="Arial" w:hAnsi="Arial" w:cs="Arial"/>
                <w:lang w:val="en-US"/>
              </w:rPr>
              <w:t> </w:t>
            </w:r>
          </w:p>
        </w:tc>
      </w:tr>
    </w:tbl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 The table below shows the number of people in the UK diagnosed with gonorrhoea in different years.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2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60"/>
        <w:gridCol w:w="1215"/>
        <w:gridCol w:w="1530"/>
        <w:gridCol w:w="15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Number of people diagnosed </w:t>
            </w:r>
            <w:r>
              <w:rPr>
                <w:rFonts w:ascii="Arial" w:hAnsi="Arial" w:cs="Arial"/>
                <w:b/>
                <w:bCs/>
                <w:lang w:val="en-US"/>
              </w:rPr>
              <w:br/>
              <w:t>with gonorrhoea in thousands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Year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Female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2005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2007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2009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12.0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2011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14.0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2013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22.0</w:t>
            </w:r>
          </w:p>
        </w:tc>
      </w:tr>
    </w:tbl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the data in the table to complete the graph below.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The numbers for males have already been plotted.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Only some of the numbers for females have been plotted.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1" type="#_x0000_t75" style="width:436.5pt;height:313.5pt">
            <v:imagedata r:id="rId8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     Describe the patterns in the numbers of males and females with gonorrhoea from 2005 to 2013.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the data in the graph.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(e)     Gonorrhoea is treated with an antibiotic.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HIV is another sexually transmitted disease.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Explain why prescribing an antibiotic will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cure HIV.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13 marks)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Microorganisms cause infections.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human</w:t>
      </w:r>
      <w:r>
        <w:rPr>
          <w:rFonts w:ascii="Arial" w:hAnsi="Arial" w:cs="Arial"/>
          <w:lang w:val="en-US"/>
        </w:rPr>
        <w:t xml:space="preserve"> body has many ways of defending itself against microorganisms.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(a)     Describe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ways the body prevents the entry of microorganisms.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1 .....................................................................................................................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 In 2014 the Ebola virus killed almost 8000 people in Africa.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Drug companies have developed a new drug to treat Ebola.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what testing must be done before this new drug can be used to treat people.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(6)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8 marks)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         Read the article.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Parents all over the world advise children to </w:t>
            </w:r>
            <w:r>
              <w:rPr>
                <w:rFonts w:ascii="Arial" w:hAnsi="Arial" w:cs="Arial"/>
                <w:lang w:val="en-US"/>
              </w:rPr>
              <w:t>‘</w:t>
            </w:r>
            <w:r>
              <w:rPr>
                <w:rFonts w:ascii="Arial" w:hAnsi="Arial" w:cs="Arial"/>
                <w:lang w:val="en-US"/>
              </w:rPr>
              <w:t>wrap up warm or you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>ll catch a cold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>.</w:t>
            </w:r>
          </w:p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Scientists at Cardiff University recruited 180 volunteers to take part in an investigation to find out if the advice was true. The investigation took place during the city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>s common cold season.</w:t>
            </w:r>
          </w:p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Half of the volunteers put their feet in bowls of ice cold wat</w:t>
            </w:r>
            <w:r>
              <w:rPr>
                <w:rFonts w:ascii="Arial" w:hAnsi="Arial" w:cs="Arial"/>
                <w:lang w:val="en-US"/>
              </w:rPr>
              <w:t>er for 20 minutes. The other volunteers sat with their feet in empty bowls.</w:t>
            </w:r>
          </w:p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Over the next few days, almost a third of the volunteers who put their feet into cold water developed colds. Fewer than one in ten of the other volunteers developed colds.</w:t>
            </w:r>
          </w:p>
        </w:tc>
      </w:tr>
    </w:tbl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</w:t>
      </w:r>
      <w:r>
        <w:rPr>
          <w:rFonts w:ascii="Arial" w:hAnsi="Arial" w:cs="Arial"/>
          <w:lang w:val="en-US"/>
        </w:rPr>
        <w:t>  Draw a ring around the correct answer to complete the sentence.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5"/>
        <w:gridCol w:w="139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hearsay.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advice </w:t>
            </w:r>
            <w:r>
              <w:rPr>
                <w:rFonts w:ascii="Arial" w:hAnsi="Arial" w:cs="Arial"/>
                <w:lang w:val="en-US"/>
              </w:rPr>
              <w:t>‘</w:t>
            </w:r>
            <w:r>
              <w:rPr>
                <w:rFonts w:ascii="Arial" w:hAnsi="Arial" w:cs="Arial"/>
                <w:lang w:val="en-US"/>
              </w:rPr>
              <w:t>wrap up warm or you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>ll catch a cold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/>
                <w:lang w:val="en-US"/>
              </w:rPr>
              <w:t xml:space="preserve"> is an example of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hypothesis.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00000" w:rsidRDefault="001C108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prediction.</w:t>
            </w:r>
          </w:p>
        </w:tc>
      </w:tr>
    </w:tbl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What was the experimental control in the investigation?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 The scientists did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prove that the advice </w:t>
      </w:r>
      <w:r>
        <w:rPr>
          <w:rFonts w:ascii="Arial" w:hAnsi="Arial" w:cs="Arial"/>
          <w:lang w:val="en-US"/>
        </w:rPr>
        <w:t>‘</w:t>
      </w:r>
      <w:r>
        <w:rPr>
          <w:rFonts w:ascii="Arial" w:hAnsi="Arial" w:cs="Arial"/>
          <w:lang w:val="en-US"/>
        </w:rPr>
        <w:t>wrap up warm or you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ll catch a cold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 xml:space="preserve"> is true.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5 marks)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Q4.</w:t>
      </w:r>
      <w:r>
        <w:rPr>
          <w:rFonts w:ascii="Arial" w:hAnsi="Arial" w:cs="Arial"/>
          <w:lang w:val="en-US"/>
        </w:rPr>
        <w:t>White blood cells protect the body against pathogens such as bacteria and viruses.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(i)      Pathogens make us feel ill.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reason why.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White blood cells produce antibodies. This is one way white blood cells protect us against pathogens.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Give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other ways t</w:t>
      </w:r>
      <w:r>
        <w:rPr>
          <w:rFonts w:ascii="Arial" w:hAnsi="Arial" w:cs="Arial"/>
          <w:lang w:val="en-US"/>
        </w:rPr>
        <w:t>hat white blood cells protect us against pathogens.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1.............................................................................................................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</w:t>
      </w:r>
      <w:r>
        <w:rPr>
          <w:rFonts w:ascii="Arial" w:hAnsi="Arial" w:cs="Arial"/>
          <w:lang w:val="en-US"/>
        </w:rPr>
        <w:t> Vaccination can protect us from the diseases pathogens cause.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 One type of virus causes measles.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doctor vaccinates a child against measles.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does the doctor inject into the child to make the child immune to measles?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A few weeks after the vaccination, the child becomes infected with measle</w:t>
      </w:r>
      <w:r>
        <w:rPr>
          <w:rFonts w:ascii="Arial" w:hAnsi="Arial" w:cs="Arial"/>
          <w:lang w:val="en-US"/>
        </w:rPr>
        <w:t>s viruses from another person.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graph shows the number of measles antibodies in the child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blood from before the vaccination until after the infection.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</w:t>
      </w:r>
      <w:r>
        <w:rPr>
          <w:rFonts w:ascii="Arial" w:hAnsi="Arial" w:cs="Arial"/>
          <w:lang w:val="en-US"/>
        </w:rPr>
        <w:pict>
          <v:shape id="_x0000_i1032" type="#_x0000_t75" style="width:397.5pt;height:278.25pt">
            <v:imagedata r:id="rId9" o:title=""/>
          </v:shape>
        </w:pic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More measles antibodies are produced after the infection than after the vaccination. 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Describe other differences in antibody production after infection compared with after vaccination.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(iii)    Vaccination against the measles virus will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protect the child against the rubella virus.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Why?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What is the advantage of vaccinating a large proportion of the population against measles?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........................................................................................................................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10 marks)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Q5.</w:t>
      </w:r>
      <w:r>
        <w:rPr>
          <w:rFonts w:ascii="Arial" w:hAnsi="Arial" w:cs="Arial"/>
          <w:lang w:val="en-US"/>
        </w:rPr>
        <w:t>         People may be immunised against diseases using vaccines.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 (i)      Which part of the vacci</w:t>
      </w:r>
      <w:r>
        <w:rPr>
          <w:rFonts w:ascii="Arial" w:hAnsi="Arial" w:cs="Arial"/>
          <w:lang w:val="en-US"/>
        </w:rPr>
        <w:t>ne stimulates the body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s defence system?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</w:t>
      </w:r>
      <w:r>
        <w:rPr>
          <w:rFonts w:ascii="Arial" w:hAnsi="Arial" w:cs="Arial"/>
          <w:lang w:val="en-US"/>
        </w:rPr>
        <w:t>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 A pers</w:t>
      </w:r>
      <w:r>
        <w:rPr>
          <w:rFonts w:ascii="Arial" w:hAnsi="Arial" w:cs="Arial"/>
          <w:lang w:val="en-US"/>
        </w:rPr>
        <w:t xml:space="preserve">on has been vaccinated against measles. The person comes in contact with the measles pathogen. The person does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catch measles.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</w:t>
      </w:r>
      <w:r>
        <w:rPr>
          <w:rFonts w:ascii="Arial" w:hAnsi="Arial" w:cs="Arial"/>
          <w:lang w:val="en-US"/>
        </w:rPr>
        <w:t>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</w:t>
      </w:r>
      <w:r>
        <w:rPr>
          <w:rFonts w:ascii="Arial" w:hAnsi="Arial" w:cs="Arial"/>
          <w:lang w:val="en-US"/>
        </w:rPr>
        <w:t>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  A man catches a disease. The man has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been immunised against this disease. A doctor gives the man a course of antibiotics.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graph shows how the number of live disease bacteria in the bod</w:t>
      </w:r>
      <w:r>
        <w:rPr>
          <w:rFonts w:ascii="Arial" w:hAnsi="Arial" w:cs="Arial"/>
          <w:lang w:val="en-US"/>
        </w:rPr>
        <w:t>y changes when the man is taking the antibiotics.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pict>
          <v:shape id="_x0000_i1033" type="#_x0000_t75" style="width:413.25pt;height:342pt">
            <v:imagedata r:id="rId10" o:title=""/>
          </v:shape>
        </w:pic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(i)      Four days after starting the course of antibiotics the man feels well again.</w:t>
      </w:r>
      <w:r>
        <w:rPr>
          <w:rFonts w:ascii="Arial" w:hAnsi="Arial" w:cs="Arial"/>
          <w:lang w:val="en-US"/>
        </w:rPr>
        <w:br/>
        <w:t xml:space="preserve">It is important that the man does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stop taking the antibiotics.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</w:t>
      </w:r>
      <w:r>
        <w:rPr>
          <w:rFonts w:ascii="Arial" w:hAnsi="Arial" w:cs="Arial"/>
          <w:lang w:val="en-US"/>
        </w:rPr>
        <w:t>se information from the graph.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  Occasionally a </w:t>
      </w:r>
      <w:r>
        <w:rPr>
          <w:rFonts w:ascii="Arial" w:hAnsi="Arial" w:cs="Arial"/>
          <w:lang w:val="en-US"/>
        </w:rPr>
        <w:t>new, resistant strain of a pathogen appears.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new strain may spread rapidly.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Explain why.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...................................................</w:t>
      </w:r>
      <w:r>
        <w:rPr>
          <w:rFonts w:ascii="Arial" w:hAnsi="Arial" w:cs="Arial"/>
          <w:lang w:val="en-US"/>
        </w:rPr>
        <w:t>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</w:t>
      </w:r>
      <w:r>
        <w:rPr>
          <w:rFonts w:ascii="Arial" w:hAnsi="Arial" w:cs="Arial"/>
          <w:lang w:val="en-US"/>
        </w:rPr>
        <w:t>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10 marks)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> 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     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pict>
          <v:shape id="_x0000_i1034" type="#_x0000_t75" style="width:283.5pt;height:236.25pt">
            <v:imagedata r:id="rId11" o:title=""/>
          </v:shape>
        </w:pict>
      </w:r>
      <w:r>
        <w:rPr>
          <w:rFonts w:ascii="Arial" w:hAnsi="Arial" w:cs="Arial"/>
          <w:lang w:val="en-US"/>
        </w:rPr>
        <w:t> 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each extra line negates a mark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4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     pain when urinating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yellow discharge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     three correct plots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</w:t>
      </w:r>
      <w:r>
        <w:rPr>
          <w:rFonts w:ascii="Arial" w:hAnsi="Arial" w:cs="Arial"/>
          <w:b/>
          <w:bCs/>
          <w:i/>
          <w:iCs/>
          <w:lang w:val="en-US"/>
        </w:rPr>
        <w:t>1</w:t>
      </w:r>
      <w:r>
        <w:rPr>
          <w:rFonts w:ascii="Arial" w:hAnsi="Arial" w:cs="Arial"/>
          <w:i/>
          <w:iCs/>
          <w:lang w:val="en-US"/>
        </w:rPr>
        <w:t xml:space="preserve"> mark for two correct plots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correctly drawn line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(d)     any </w:t>
      </w:r>
      <w:r>
        <w:rPr>
          <w:rFonts w:ascii="Arial" w:hAnsi="Arial" w:cs="Arial"/>
          <w:b/>
          <w:bCs/>
          <w:lang w:val="en-US"/>
        </w:rPr>
        <w:t>three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(fairly) level / steady up to 2009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numbers of males fall (slightly) </w:t>
      </w:r>
      <w:r>
        <w:rPr>
          <w:rFonts w:ascii="Arial" w:hAnsi="Arial" w:cs="Arial"/>
          <w:b/>
          <w:bCs/>
          <w:i/>
          <w:iCs/>
          <w:lang w:val="en-US"/>
        </w:rPr>
        <w:t>and</w:t>
      </w:r>
      <w:r>
        <w:rPr>
          <w:rFonts w:ascii="Arial" w:hAnsi="Arial" w:cs="Arial"/>
          <w:i/>
          <w:iCs/>
          <w:lang w:val="en-US"/>
        </w:rPr>
        <w:t xml:space="preserve"> females rise (slightly) up to 2009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(there is a) rise after 2009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males are (always) higher than females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males rising faster than females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overall increase (from 2005 to 2013)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(e)     HIV is a virus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(and) antibiotics are </w:t>
      </w:r>
      <w:r>
        <w:rPr>
          <w:rFonts w:ascii="Arial" w:hAnsi="Arial" w:cs="Arial"/>
          <w:u w:val="single"/>
          <w:lang w:val="en-US"/>
        </w:rPr>
        <w:t>only</w:t>
      </w:r>
      <w:r>
        <w:rPr>
          <w:rFonts w:ascii="Arial" w:hAnsi="Arial" w:cs="Arial"/>
          <w:lang w:val="en-US"/>
        </w:rPr>
        <w:t xml:space="preserve"> effective against bacteria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or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antibiotics do not kill viruses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viruses live inside cells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[13]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 xml:space="preserve">(a)     any </w:t>
      </w:r>
      <w:r>
        <w:rPr>
          <w:rFonts w:ascii="Arial" w:hAnsi="Arial" w:cs="Arial"/>
          <w:b/>
          <w:bCs/>
          <w:lang w:val="en-US"/>
        </w:rPr>
        <w:t>two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</w:t>
      </w:r>
      <w:r>
        <w:rPr>
          <w:rFonts w:ascii="Arial" w:hAnsi="Arial" w:cs="Arial"/>
          <w:lang w:val="en-US"/>
        </w:rPr>
        <w:t>acid in the stomach kills pathogens in food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skin forms a barrier / produces antimicrobial secretions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hairs in the nose trap (particles which may contain) pathogens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trachea / bronchi has mucus which traps pathogens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         </w:t>
      </w:r>
      <w:r>
        <w:rPr>
          <w:rFonts w:ascii="Arial" w:hAnsi="Arial" w:cs="Arial"/>
          <w:b/>
          <w:bCs/>
          <w:lang w:val="en-US"/>
        </w:rPr>
        <w:t>or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</w:t>
      </w:r>
      <w:r>
        <w:rPr>
          <w:rFonts w:ascii="Arial" w:hAnsi="Arial" w:cs="Arial"/>
          <w:lang w:val="en-US"/>
        </w:rPr>
        <w:t>      bronchi have cilia which waft mucus to throat to be swallowed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(b)     </w:t>
      </w:r>
      <w:r>
        <w:rPr>
          <w:rFonts w:ascii="Arial" w:hAnsi="Arial" w:cs="Arial"/>
          <w:b/>
          <w:bCs/>
          <w:lang w:val="en-US"/>
        </w:rPr>
        <w:t>Level 3 (5–6 marks):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clear, logical and coherent answer, with no significant redundancy. The student understands the process and links this to reasons for clinical trials.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Level 2 (3–4 marks):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partial answer with errors and ineffective reasoning or linkage.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Level 1 (1–2 marks):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One or two relevant points but little linkage of points or logical reasoning.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0 marks: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 relevant content.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Indicative content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•        pre-clinica</w:t>
      </w:r>
      <w:r>
        <w:rPr>
          <w:rFonts w:ascii="Arial" w:hAnsi="Arial" w:cs="Arial"/>
          <w:lang w:val="en-US"/>
        </w:rPr>
        <w:t>l trials of the new drug on cells / tissues / live animals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to test toxicity, dosage and efficacy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clinical trials / test on healthy volunteers and Ebola patients at very low doses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so that you can monitor for safety / side effects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and only then do trials to find the optimum dosage and test for efficacy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double blind trial / use of placebo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which does not contain the new drug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random allocation of Ebola patients to groups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</w:t>
      </w:r>
      <w:r>
        <w:rPr>
          <w:rFonts w:ascii="Arial" w:hAnsi="Arial" w:cs="Arial"/>
          <w:lang w:val="en-US"/>
        </w:rPr>
        <w:t>so no one knows who has placebo / the new drug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peer review of data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        to help prevent false claims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6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[8]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M3.</w:t>
      </w:r>
      <w:r>
        <w:rPr>
          <w:rFonts w:ascii="Arial" w:hAnsi="Arial" w:cs="Arial"/>
          <w:lang w:val="en-US"/>
        </w:rPr>
        <w:t>          (a)    hearsay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     (volunteers with feet in) </w:t>
      </w:r>
      <w:r>
        <w:rPr>
          <w:rFonts w:ascii="Arial" w:hAnsi="Arial" w:cs="Arial"/>
          <w:u w:val="single"/>
          <w:lang w:val="en-US"/>
        </w:rPr>
        <w:t>empty</w:t>
      </w:r>
      <w:r>
        <w:rPr>
          <w:rFonts w:ascii="Arial" w:hAnsi="Arial" w:cs="Arial"/>
          <w:lang w:val="en-US"/>
        </w:rPr>
        <w:t xml:space="preserve"> bowls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bowl with no (iced) water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mention of bowl with iced water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     any </w:t>
      </w:r>
      <w:r>
        <w:rPr>
          <w:rFonts w:ascii="Arial" w:hAnsi="Arial" w:cs="Arial"/>
          <w:b/>
          <w:bCs/>
          <w:lang w:val="en-US"/>
        </w:rPr>
        <w:t>three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control variables, eg age, gender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only some of those whose feet were in cold water caught colds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some controls caught colds 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only feet were cold in experime</w:t>
      </w:r>
      <w:r>
        <w:rPr>
          <w:rFonts w:ascii="Arial" w:hAnsi="Arial" w:cs="Arial"/>
          <w:lang w:val="en-US"/>
        </w:rPr>
        <w:t xml:space="preserve">ntal group 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(control) not wrapped up warm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only kept feet in cold water for 20 minutes 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 xml:space="preserve">        insufficient evidence for </w:t>
      </w:r>
      <w:r>
        <w:rPr>
          <w:rFonts w:ascii="Arial" w:hAnsi="Arial" w:cs="Arial"/>
          <w:lang w:val="en-US"/>
        </w:rPr>
        <w:t>‘</w:t>
      </w:r>
      <w:r>
        <w:rPr>
          <w:rFonts w:ascii="Arial" w:hAnsi="Arial" w:cs="Arial"/>
          <w:lang w:val="en-US"/>
        </w:rPr>
        <w:t>proof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 xml:space="preserve"> / only showed increased risk 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small sample size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don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t know activities of individuals before / after the investigation</w:t>
      </w:r>
      <w:r>
        <w:rPr>
          <w:rFonts w:ascii="Arial" w:hAnsi="Arial" w:cs="Arial"/>
          <w:lang w:val="en-US"/>
        </w:rPr>
        <w:br/>
        <w:t>(eg exposure to cold virus) / reference to immune system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investigation done in </w:t>
      </w:r>
      <w:r>
        <w:rPr>
          <w:rFonts w:ascii="Arial" w:hAnsi="Arial" w:cs="Arial"/>
          <w:i/>
          <w:iCs/>
          <w:lang w:val="en-US"/>
        </w:rPr>
        <w:t>‘</w:t>
      </w:r>
      <w:r>
        <w:rPr>
          <w:rFonts w:ascii="Arial" w:hAnsi="Arial" w:cs="Arial"/>
          <w:i/>
          <w:iCs/>
          <w:lang w:val="en-US"/>
        </w:rPr>
        <w:t>cold season</w:t>
      </w:r>
      <w:r>
        <w:rPr>
          <w:rFonts w:ascii="Arial" w:hAnsi="Arial" w:cs="Arial"/>
          <w:i/>
          <w:iCs/>
          <w:lang w:val="en-US"/>
        </w:rPr>
        <w:t>’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[5]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M4.</w:t>
      </w:r>
      <w:r>
        <w:rPr>
          <w:rFonts w:ascii="Arial" w:hAnsi="Arial" w:cs="Arial"/>
          <w:lang w:val="en-US"/>
        </w:rPr>
        <w:t xml:space="preserve">(a)     (i)      any </w:t>
      </w:r>
      <w:r>
        <w:rPr>
          <w:rFonts w:ascii="Arial" w:hAnsi="Arial" w:cs="Arial"/>
          <w:b/>
          <w:bCs/>
          <w:lang w:val="en-US"/>
        </w:rPr>
        <w:t>one</w:t>
      </w:r>
      <w:r>
        <w:rPr>
          <w:rFonts w:ascii="Arial" w:hAnsi="Arial" w:cs="Arial"/>
          <w:lang w:val="en-US"/>
        </w:rPr>
        <w:t xml:space="preserve"> from: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(produce) toxins / poisons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2268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•</w:t>
      </w:r>
      <w:r>
        <w:rPr>
          <w:rFonts w:ascii="Arial" w:hAnsi="Arial" w:cs="Arial"/>
          <w:lang w:val="en-US"/>
        </w:rPr>
        <w:t>        </w:t>
      </w:r>
      <w:r>
        <w:rPr>
          <w:rFonts w:ascii="Arial" w:hAnsi="Arial" w:cs="Arial"/>
          <w:lang w:val="en-US"/>
        </w:rPr>
        <w:t>(cause) damage to cells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kill / destroy cells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kills white blood cells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produce antitoxins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engulf / ingest / digest pathogens / viruses / bacteria / microorganisms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phagocytosis or description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eat / consume / absorb for engulf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references to memory cells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(i)      dead / inactive / weakened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idea of antigen / protein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(measles) pathogen / virus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bacteria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(ii)     (after infection)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converse if clearly referring to before vaccination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rise begins sooner / less lag time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steeper / faster rise (in number)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longer lasting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doesn</w:t>
      </w:r>
      <w:r>
        <w:rPr>
          <w:rFonts w:ascii="Arial" w:hAnsi="Arial" w:cs="Arial"/>
          <w:lang w:val="en-US"/>
        </w:rPr>
        <w:t>’</w:t>
      </w:r>
      <w:r>
        <w:rPr>
          <w:rFonts w:ascii="Arial" w:hAnsi="Arial" w:cs="Arial"/>
          <w:lang w:val="en-US"/>
        </w:rPr>
        <w:t>t drop so quickly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idea of staying high for longer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lastRenderedPageBreak/>
        <w:t>ignore reference to higher starting point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(iii)    antibodies are specific or needs different antibodies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accept antigens are different </w:t>
      </w:r>
      <w:r>
        <w:rPr>
          <w:rFonts w:ascii="Arial" w:hAnsi="Arial" w:cs="Arial"/>
          <w:b/>
          <w:bCs/>
          <w:i/>
          <w:iCs/>
          <w:lang w:val="en-US"/>
        </w:rPr>
        <w:t>or</w:t>
      </w:r>
      <w:r>
        <w:rPr>
          <w:rFonts w:ascii="Arial" w:hAnsi="Arial" w:cs="Arial"/>
          <w:i/>
          <w:iCs/>
          <w:lang w:val="en-US"/>
        </w:rPr>
        <w:t xml:space="preserve"> white blood cells do not recognise virus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     reduces </w:t>
      </w:r>
      <w:r>
        <w:rPr>
          <w:rFonts w:ascii="Arial" w:hAnsi="Arial" w:cs="Arial"/>
          <w:u w:val="single"/>
          <w:lang w:val="en-US"/>
        </w:rPr>
        <w:t>spread</w:t>
      </w:r>
      <w:r>
        <w:rPr>
          <w:rFonts w:ascii="Arial" w:hAnsi="Arial" w:cs="Arial"/>
          <w:lang w:val="en-US"/>
        </w:rPr>
        <w:t xml:space="preserve"> of infection / less likely to get an epidemic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idea of eradicating measles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[10]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701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M5.</w:t>
      </w:r>
      <w:r>
        <w:rPr>
          <w:rFonts w:ascii="Arial" w:hAnsi="Arial" w:cs="Arial"/>
          <w:lang w:val="en-US"/>
        </w:rPr>
        <w:t>          (a)     (i)      dead / inactive / weakened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antigen / protein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ref to other components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small amount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pathogen / bacterium / virus / microorganism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germs / disease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 xml:space="preserve">(ii)     </w:t>
      </w:r>
      <w:r>
        <w:rPr>
          <w:rFonts w:ascii="Arial" w:hAnsi="Arial" w:cs="Arial"/>
          <w:i/>
          <w:iCs/>
          <w:lang w:val="en-US"/>
        </w:rPr>
        <w:t>antigen / antibiotic instead of antibody = max 2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white blood cells produce / release antibodies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lymphocytes / leucocytes / memory cells produce antibodies</w:t>
      </w:r>
      <w:r>
        <w:rPr>
          <w:rFonts w:ascii="Arial" w:hAnsi="Arial" w:cs="Arial"/>
          <w:i/>
          <w:iCs/>
          <w:lang w:val="en-US"/>
        </w:rPr>
        <w:br/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phagocytes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antibodies produced quickly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(these) antibodies destroy the pathogen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kill</w:t>
      </w:r>
      <w:r>
        <w:rPr>
          <w:rFonts w:ascii="Arial" w:hAnsi="Arial" w:cs="Arial"/>
          <w:i/>
          <w:iCs/>
          <w:lang w:val="en-US"/>
        </w:rPr>
        <w:br/>
        <w:t xml:space="preserve">do </w:t>
      </w:r>
      <w:r>
        <w:rPr>
          <w:rFonts w:ascii="Arial" w:hAnsi="Arial" w:cs="Arial"/>
          <w:b/>
          <w:bCs/>
          <w:i/>
          <w:iCs/>
          <w:lang w:val="en-US"/>
        </w:rPr>
        <w:t>not</w:t>
      </w:r>
      <w:r>
        <w:rPr>
          <w:rFonts w:ascii="Arial" w:hAnsi="Arial" w:cs="Arial"/>
          <w:i/>
          <w:iCs/>
          <w:lang w:val="en-US"/>
        </w:rPr>
        <w:t xml:space="preserve"> accept antibodies engulf pathogens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lastRenderedPageBreak/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(i)     (live) bacteria still in body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numbers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would reproduce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ignore mutation / growth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(ii)     antibiotics / treatment ineffective 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resistant pathogens survive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accept resistant out compete non-resistant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these reproduce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population of resistant pathogens increases</w:t>
      </w:r>
    </w:p>
    <w:p w:rsidR="00000000" w:rsidRDefault="001C108C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(resistant pathogens reproduce) rapidly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[10]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1C108C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000000" w:rsidRDefault="001C108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lang w:val="en-US"/>
        </w:rPr>
        <w:br/>
      </w:r>
    </w:p>
    <w:sectPr w:rsidR="00000000">
      <w:headerReference w:type="default" r:id="rId12"/>
      <w:footerReference w:type="default" r:id="rId13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108C">
      <w:pPr>
        <w:spacing w:after="0" w:line="240" w:lineRule="auto"/>
      </w:pPr>
      <w:r>
        <w:separator/>
      </w:r>
    </w:p>
  </w:endnote>
  <w:endnote w:type="continuationSeparator" w:id="0">
    <w:p w:rsidR="00000000" w:rsidRDefault="001C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08C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>
      <w:rPr>
        <w:rFonts w:ascii="Arial" w:hAnsi="Arial" w:cs="Arial"/>
        <w:sz w:val="24"/>
        <w:szCs w:val="24"/>
        <w:lang w:val="en-US"/>
      </w:rPr>
      <w:fldChar w:fldCharType="separate"/>
    </w:r>
    <w:r>
      <w:rPr>
        <w:rFonts w:ascii="Arial" w:hAnsi="Arial" w:cs="Arial"/>
        <w:noProof/>
        <w:sz w:val="24"/>
        <w:szCs w:val="24"/>
        <w:lang w:val="en-US"/>
      </w:rPr>
      <w:t>2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108C">
      <w:pPr>
        <w:spacing w:after="0" w:line="240" w:lineRule="auto"/>
      </w:pPr>
      <w:r>
        <w:separator/>
      </w:r>
    </w:p>
  </w:footnote>
  <w:footnote w:type="continuationSeparator" w:id="0">
    <w:p w:rsidR="00000000" w:rsidRDefault="001C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108C">
    <w:pPr>
      <w:widowControl w:val="0"/>
      <w:autoSpaceDE w:val="0"/>
      <w:autoSpaceDN w:val="0"/>
      <w:adjustRightInd w:val="0"/>
      <w:spacing w:before="100" w:after="100" w:line="240" w:lineRule="auto"/>
      <w:jc w:val="right"/>
      <w:rPr>
        <w:rFonts w:ascii="Arial" w:hAnsi="Arial" w:cs="Arial"/>
        <w:color w:val="A6A6A6"/>
        <w:sz w:val="20"/>
        <w:szCs w:val="20"/>
        <w:lang w:val="en-US"/>
      </w:rPr>
    </w:pPr>
    <w:r>
      <w:rPr>
        <w:rFonts w:ascii="Arial" w:hAnsi="Arial" w:cs="Arial"/>
        <w:color w:val="A6A6A6"/>
        <w:sz w:val="20"/>
        <w:szCs w:val="20"/>
        <w:lang w:val="en-US"/>
      </w:rPr>
      <w:t>Beverley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08C"/>
    <w:rsid w:val="001C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3E0F791-251D-4003-A66B-3B835A29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3ACBDDAB</Template>
  <TotalTime>1</TotalTime>
  <Pages>16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O'Brien</dc:creator>
  <cp:keywords/>
  <dc:description/>
  <cp:lastModifiedBy>M O'Brien</cp:lastModifiedBy>
  <cp:revision>2</cp:revision>
  <dcterms:created xsi:type="dcterms:W3CDTF">2017-04-24T08:25:00Z</dcterms:created>
  <dcterms:modified xsi:type="dcterms:W3CDTF">2017-04-24T08:25:00Z</dcterms:modified>
</cp:coreProperties>
</file>